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cs="黑体" w:eastAsia="黑体" w:hAnsi="黑体" w:hint="eastAsia"/>
          <w:sz w:val="36"/>
          <w:szCs w:val="36"/>
          <w:highlight w:val="none"/>
        </w:rPr>
      </w:pPr>
    </w:p>
    <w:p>
      <w:pPr>
        <w:pStyle w:val="style0"/>
        <w:jc w:val="center"/>
        <w:rPr>
          <w:rFonts w:ascii="黑体" w:cs="黑体" w:eastAsia="黑体" w:hAnsi="黑体" w:hint="eastAsia"/>
          <w:sz w:val="36"/>
          <w:szCs w:val="36"/>
          <w:highlight w:val="none"/>
          <w:lang w:eastAsia="zh-CN"/>
        </w:rPr>
      </w:pPr>
      <w:r>
        <w:rPr>
          <w:rFonts w:ascii="黑体" w:cs="黑体" w:eastAsia="黑体" w:hAnsi="黑体" w:hint="eastAsia"/>
          <w:sz w:val="36"/>
          <w:szCs w:val="36"/>
          <w:highlight w:val="none"/>
          <w:lang w:val="en-US" w:eastAsia="zh-CN"/>
        </w:rPr>
        <w:t>渭南市第二轻工业学校</w:t>
      </w:r>
    </w:p>
    <w:p>
      <w:pPr>
        <w:pStyle w:val="style0"/>
        <w:jc w:val="center"/>
        <w:rPr>
          <w:rFonts w:ascii="黑体" w:cs="黑体" w:eastAsia="黑体" w:hAnsi="黑体" w:hint="eastAsia"/>
          <w:sz w:val="36"/>
          <w:szCs w:val="36"/>
          <w:highlight w:val="none"/>
          <w:lang w:val="en-US" w:eastAsia="zh-CN"/>
        </w:rPr>
      </w:pPr>
      <w:r>
        <w:rPr>
          <w:rFonts w:ascii="黑体" w:cs="黑体" w:eastAsia="黑体" w:hAnsi="黑体" w:hint="eastAsia"/>
          <w:sz w:val="36"/>
          <w:szCs w:val="36"/>
          <w:highlight w:val="none"/>
        </w:rPr>
        <w:t>20</w:t>
      </w:r>
      <w:r>
        <w:rPr>
          <w:rFonts w:ascii="黑体" w:cs="黑体" w:eastAsia="黑体" w:hAnsi="黑体" w:hint="eastAsia"/>
          <w:sz w:val="36"/>
          <w:szCs w:val="36"/>
          <w:highlight w:val="none"/>
          <w:lang w:val="en-US" w:eastAsia="zh-CN"/>
        </w:rPr>
        <w:t>22</w:t>
      </w:r>
      <w:r>
        <w:rPr>
          <w:rFonts w:ascii="黑体" w:cs="黑体" w:eastAsia="黑体" w:hAnsi="黑体" w:hint="eastAsia"/>
          <w:sz w:val="36"/>
          <w:szCs w:val="36"/>
          <w:highlight w:val="none"/>
        </w:rPr>
        <w:t>年</w:t>
      </w:r>
      <w:r>
        <w:rPr>
          <w:rFonts w:ascii="黑体" w:cs="黑体" w:eastAsia="黑体" w:hAnsi="黑体" w:hint="eastAsia"/>
          <w:sz w:val="36"/>
          <w:szCs w:val="36"/>
          <w:highlight w:val="none"/>
          <w:lang w:eastAsia="zh-CN"/>
        </w:rPr>
        <w:t>单位预算公开说明</w:t>
      </w:r>
    </w:p>
    <w:p>
      <w:pPr>
        <w:pStyle w:val="style0"/>
        <w:jc w:val="both"/>
        <w:rPr>
          <w:rFonts w:hint="eastAsia"/>
          <w:highlight w:val="none"/>
          <w:lang w:eastAsia="zh-CN"/>
        </w:rPr>
      </w:pPr>
    </w:p>
    <w:p>
      <w:pPr>
        <w:pStyle w:val="style0"/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pStyle w:val="style0"/>
        <w:jc w:val="left"/>
        <w:rPr>
          <w:rFonts w:ascii="宋体" w:cs="宋体" w:eastAsia="宋体" w:hAnsi="宋体" w:hint="eastAsia"/>
          <w:sz w:val="32"/>
          <w:szCs w:val="32"/>
          <w:highlight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val="en-US" w:eastAsia="zh-CN"/>
        </w:rPr>
        <w:t xml:space="preserve"> 单位概况</w:t>
      </w:r>
    </w:p>
    <w:p>
      <w:pPr>
        <w:pStyle w:val="style0"/>
        <w:jc w:val="left"/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</w:pPr>
      <w:r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  <w:t>一、</w:t>
      </w:r>
      <w:r>
        <w:rPr>
          <w:rFonts w:ascii="宋体" w:cs="宋体" w:eastAsia="宋体" w:hAnsi="宋体" w:hint="eastAsia"/>
          <w:sz w:val="32"/>
          <w:szCs w:val="32"/>
          <w:highlight w:val="none"/>
        </w:rPr>
        <w:t>主要职责</w:t>
      </w:r>
      <w:r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  <w:t>及机构设置</w:t>
      </w:r>
    </w:p>
    <w:p>
      <w:pPr>
        <w:pStyle w:val="style0"/>
        <w:rPr>
          <w:rFonts w:ascii="宋体" w:cs="宋体" w:eastAsia="宋体" w:hAnsi="宋体" w:hint="eastAsia"/>
          <w:sz w:val="32"/>
          <w:szCs w:val="32"/>
          <w:highlight w:val="none"/>
        </w:rPr>
      </w:pPr>
      <w:r>
        <w:rPr>
          <w:rFonts w:ascii="宋体" w:cs="宋体" w:eastAsia="宋体" w:hAnsi="宋体" w:hint="eastAsia"/>
          <w:sz w:val="32"/>
          <w:szCs w:val="32"/>
          <w:highlight w:val="none"/>
        </w:rPr>
        <w:t>二、工作任务</w:t>
      </w:r>
    </w:p>
    <w:p>
      <w:pPr>
        <w:pStyle w:val="style0"/>
        <w:rPr>
          <w:rFonts w:ascii="宋体" w:cs="宋体" w:eastAsia="宋体" w:hAnsi="宋体" w:hint="eastAsia"/>
          <w:sz w:val="32"/>
          <w:szCs w:val="32"/>
          <w:highlight w:val="none"/>
        </w:rPr>
      </w:pPr>
      <w:r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  <w:t>三</w:t>
      </w:r>
      <w:r>
        <w:rPr>
          <w:rFonts w:ascii="宋体" w:cs="宋体" w:eastAsia="宋体" w:hAnsi="宋体" w:hint="eastAsia"/>
          <w:sz w:val="32"/>
          <w:szCs w:val="32"/>
          <w:highlight w:val="none"/>
        </w:rPr>
        <w:t>、人员情况说明</w:t>
      </w:r>
    </w:p>
    <w:p>
      <w:pPr>
        <w:pStyle w:val="style0"/>
        <w:rPr>
          <w:rFonts w:ascii="宋体" w:cs="宋体" w:eastAsia="宋体" w:hAnsi="宋体" w:hint="eastAsia"/>
          <w:sz w:val="32"/>
          <w:szCs w:val="32"/>
          <w:highlight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pStyle w:val="style0"/>
        <w:rPr>
          <w:rFonts w:ascii="宋体" w:cs="宋体" w:eastAsia="宋体" w:hAnsi="宋体" w:hint="eastAsia"/>
          <w:sz w:val="32"/>
          <w:szCs w:val="32"/>
          <w:highlight w:val="none"/>
        </w:rPr>
      </w:pPr>
      <w:r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  <w:t>四、</w:t>
      </w:r>
      <w:r>
        <w:rPr>
          <w:rFonts w:ascii="宋体" w:cs="宋体" w:eastAsia="宋体" w:hAnsi="宋体" w:hint="eastAsia"/>
          <w:sz w:val="32"/>
          <w:szCs w:val="32"/>
          <w:highlight w:val="none"/>
        </w:rPr>
        <w:t>收支说明</w:t>
      </w:r>
    </w:p>
    <w:p>
      <w:pPr>
        <w:pStyle w:val="style0"/>
        <w:rPr>
          <w:rFonts w:ascii="宋体" w:cs="宋体" w:eastAsia="宋体" w:hAnsi="宋体" w:hint="eastAsia"/>
          <w:sz w:val="32"/>
          <w:szCs w:val="32"/>
          <w:highlight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pStyle w:val="style0"/>
        <w:rPr>
          <w:rFonts w:ascii="宋体" w:cs="宋体" w:eastAsia="宋体" w:hAnsi="宋体" w:hint="eastAsia"/>
          <w:sz w:val="32"/>
          <w:szCs w:val="32"/>
          <w:highlight w:val="none"/>
          <w:u w:val="single"/>
          <w:lang w:eastAsia="zh-CN"/>
        </w:rPr>
      </w:pPr>
      <w:r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  <w:t>五</w:t>
      </w:r>
      <w:r>
        <w:rPr>
          <w:rFonts w:ascii="宋体" w:cs="宋体" w:eastAsia="宋体" w:hAnsi="宋体" w:hint="eastAsia"/>
          <w:sz w:val="32"/>
          <w:szCs w:val="32"/>
          <w:highlight w:val="none"/>
        </w:rPr>
        <w:t>、</w:t>
      </w:r>
      <w:r>
        <w:rPr>
          <w:rFonts w:ascii="宋体" w:cs="宋体" w:eastAsia="宋体" w:hAnsi="宋体" w:hint="eastAsia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pStyle w:val="style0"/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</w:pPr>
      <w:r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  <w:t>六</w:t>
      </w:r>
      <w:r>
        <w:rPr>
          <w:rFonts w:ascii="宋体" w:cs="宋体" w:eastAsia="宋体" w:hAnsi="宋体" w:hint="eastAsia"/>
          <w:sz w:val="32"/>
          <w:szCs w:val="32"/>
          <w:highlight w:val="none"/>
        </w:rPr>
        <w:t>、国有资产占有使用</w:t>
      </w:r>
      <w:r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  <w:t>及资产购置</w:t>
      </w:r>
      <w:r>
        <w:rPr>
          <w:rFonts w:ascii="宋体" w:cs="宋体" w:eastAsia="宋体" w:hAnsi="宋体" w:hint="eastAsia"/>
          <w:sz w:val="32"/>
          <w:szCs w:val="32"/>
          <w:highlight w:val="none"/>
        </w:rPr>
        <w:t>情况说明</w:t>
      </w:r>
    </w:p>
    <w:p>
      <w:pPr>
        <w:pStyle w:val="style0"/>
        <w:rPr>
          <w:rFonts w:ascii="宋体" w:cs="宋体" w:eastAsia="宋体" w:hAnsi="宋体" w:hint="eastAsia"/>
          <w:sz w:val="32"/>
          <w:szCs w:val="32"/>
          <w:highlight w:val="none"/>
        </w:rPr>
      </w:pPr>
      <w:r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  <w:t>七、政府采购</w:t>
      </w:r>
      <w:r>
        <w:rPr>
          <w:rFonts w:ascii="宋体" w:cs="宋体" w:eastAsia="宋体" w:hAnsi="宋体" w:hint="eastAsia"/>
          <w:sz w:val="32"/>
          <w:szCs w:val="32"/>
          <w:highlight w:val="none"/>
        </w:rPr>
        <w:t>情况说明</w:t>
      </w:r>
    </w:p>
    <w:p>
      <w:pPr>
        <w:pStyle w:val="style0"/>
        <w:rPr>
          <w:rFonts w:ascii="宋体" w:cs="宋体" w:eastAsia="宋体" w:hAnsi="宋体" w:hint="eastAsia"/>
          <w:sz w:val="32"/>
          <w:szCs w:val="32"/>
          <w:highlight w:val="none"/>
        </w:rPr>
      </w:pPr>
      <w:r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  <w:t>八、</w:t>
      </w:r>
      <w:r>
        <w:rPr>
          <w:rFonts w:ascii="宋体" w:cs="宋体" w:eastAsia="宋体" w:hAnsi="宋体" w:hint="eastAsia"/>
          <w:sz w:val="32"/>
          <w:szCs w:val="32"/>
          <w:highlight w:val="none"/>
        </w:rPr>
        <w:t>绩效目标说明</w:t>
      </w:r>
    </w:p>
    <w:p>
      <w:pPr>
        <w:pStyle w:val="style0"/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</w:pPr>
      <w:r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  <w:t>九</w:t>
      </w:r>
      <w:r>
        <w:rPr>
          <w:rFonts w:ascii="宋体" w:cs="宋体" w:eastAsia="宋体" w:hAnsi="宋体" w:hint="eastAsia"/>
          <w:sz w:val="32"/>
          <w:szCs w:val="32"/>
          <w:highlight w:val="none"/>
        </w:rPr>
        <w:t>、</w:t>
      </w:r>
      <w:r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  <w:t>公用经费情况说明</w:t>
      </w:r>
    </w:p>
    <w:p>
      <w:pPr>
        <w:pStyle w:val="style0"/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</w:pPr>
      <w:r>
        <w:rPr>
          <w:rFonts w:ascii="宋体" w:cs="宋体" w:eastAsia="宋体" w:hAnsi="宋体" w:hint="eastAsia"/>
          <w:sz w:val="32"/>
          <w:szCs w:val="32"/>
          <w:highlight w:val="none"/>
          <w:lang w:val="en-US" w:eastAsia="zh-CN"/>
        </w:rPr>
        <w:t>十、</w:t>
      </w:r>
      <w:r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  <w:t>专业名词解释</w:t>
      </w:r>
    </w:p>
    <w:p>
      <w:pPr>
        <w:pStyle w:val="style0"/>
        <w:jc w:val="both"/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pStyle w:val="style0"/>
        <w:jc w:val="both"/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</w:pPr>
      <w:r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  <w:t>（具体预算公开报表）</w:t>
      </w:r>
    </w:p>
    <w:p>
      <w:pPr>
        <w:pStyle w:val="style0"/>
        <w:jc w:val="both"/>
        <w:rPr>
          <w:rFonts w:ascii="宋体" w:cs="宋体" w:eastAsia="宋体" w:hAnsi="宋体" w:hint="eastAsia"/>
          <w:sz w:val="32"/>
          <w:szCs w:val="32"/>
          <w:highlight w:val="none"/>
          <w:lang w:eastAsia="zh-CN"/>
        </w:rPr>
      </w:pPr>
    </w:p>
    <w:p>
      <w:pPr>
        <w:pStyle w:val="style0"/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eastAsia="zh-CN"/>
        </w:rPr>
      </w:pPr>
      <w:r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eastAsia="zh-CN"/>
        </w:rPr>
        <w:br w:type="page"/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val="en-US" w:eastAsia="zh-CN"/>
        </w:rPr>
        <w:t xml:space="preserve">  单位概况</w:t>
      </w:r>
    </w:p>
    <w:p>
      <w:pPr>
        <w:pStyle w:val="style0"/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一、主要职责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pStyle w:val="style0"/>
        <w:ind w:firstLine="640" w:firstLineChars="200"/>
        <w:jc w:val="left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主要职责：</w:t>
      </w:r>
    </w:p>
    <w:p>
      <w:pPr>
        <w:pStyle w:val="style0"/>
        <w:ind w:firstLine="640" w:firstLineChars="200"/>
        <w:jc w:val="left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提高行业内职工综合素养，紧密配合国家技工教育政策。面向社会办学开办专业技工班，培养系统内部职工的再教育。</w:t>
      </w:r>
    </w:p>
    <w:p>
      <w:pPr>
        <w:pStyle w:val="style0"/>
        <w:ind w:firstLine="640" w:firstLineChars="200"/>
        <w:jc w:val="left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机构设置：</w:t>
      </w:r>
    </w:p>
    <w:p>
      <w:pPr>
        <w:pStyle w:val="style0"/>
        <w:ind w:firstLine="640" w:firstLineChars="200"/>
        <w:jc w:val="left"/>
        <w:rPr>
          <w:rFonts w:ascii="仿宋_GB2312" w:cs="仿宋_GB2312" w:eastAsia="仿宋_GB2312" w:hAnsi="仿宋_GB2312" w:hint="default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渭南市第二轻工业学校共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设置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1个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办公室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二、工作任务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一）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、继续抓好稳定工作，以解决职工实际困难为主，以保证职工的基本保障作为维护稳定的基础。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二）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、坚决维护学校和谐发展的局面，积极化解矛盾排除一切不和谐的因素。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三）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、积极争取上级领导和各个部门的支持，特别是在政策和资金方面为学校能够解决困难。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四）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、继续做好民生保障工作，做好养老统筹缴纳和医疗保险缴纳工作。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五）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、处理好学校设施的租赁衔接工作。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六）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、办理好日常工作和上级交办的各项任务。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七）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、为重新恢复办学，充分发挥教育培训职能做准备，学校将积极寻找出路，调研劳动力市场，筹措资金脱困，想尽办法为恢复办学创造条件。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、人员情况说明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截止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上年底，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本单位人员编制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8人，其中事业编制8人；实有人员8人，其中事业8人。单位管理的离退休人员4人。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/>
        <w:drawing>
          <wp:inline distL="114300" distT="0" distB="0" distR="114300">
            <wp:extent cx="4648200" cy="2758440"/>
            <wp:effectExtent l="0" t="0" r="0" b="0"/>
            <wp:docPr id="1027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482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</w:p>
    <w:p>
      <w:pPr>
        <w:pStyle w:val="style0"/>
        <w:ind w:firstLine="640"/>
        <w:jc w:val="center"/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、收支说明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收支预算总体情况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按照综合预算的原则，本单位所有收入和支出均纳入部门预算管理。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本单位当年预算收入18.34万元，其中一般公共预算拨款收入18.34万元、政府性基金拨款收入0万元，较上年持平；本单位当年预算支出18.34万元，其中一般公共预算拨款支出18.34万元、政府性基金拨款支出0万元，较上年持平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当年财政拨款收入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18.34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万元，其中一般共预算拨款收入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18.34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万元、政府性基金拨款收入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万元，较上年持平；本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当年财政拨款支出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18.34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18.34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万元、政府性基金拨款支出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万元，较上年持平。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公共预算拨款支出明细情况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1、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一般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公共预算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当年拨款规模变化情况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当年一般公共预算拨款支出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18.34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万元，较上年持平。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单位当年一般公共预算支出18.34万元，其中：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）机关事业单位基本养老保险缴费支出（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2080505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2.37万元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较上年持平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；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）机关事业单位职业年金缴费支出（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2080506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1.01万元，较上年持平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；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3）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其他制造业支出（2150299）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14.96万元，较上年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持平。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本单位当年一般公共预算支出18.34万元，其中：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工资福利支出（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301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18.34万元，较上年持平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本单位当年一般公共预算支出18.34万元，其中：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对事业单位经常性补助（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505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18.34万元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较上年持平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政府性基金预算支出情况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无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当年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政府性基金预算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收支，并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已公开空表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国有资本经营预算拨款收支情况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无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当年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国有资本经营预算收支。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</w:p>
    <w:p>
      <w:pPr>
        <w:pStyle w:val="style0"/>
        <w:jc w:val="center"/>
        <w:rPr>
          <w:rFonts w:ascii="仿宋_GB2312" w:cs="仿宋_GB2312" w:eastAsia="仿宋_GB2312" w:hAnsi="仿宋_GB2312" w:hint="default"/>
          <w:sz w:val="32"/>
          <w:szCs w:val="32"/>
          <w:highlight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ascii="宋体" w:cs="宋体" w:eastAsia="宋体" w:hAnsi="宋体" w:hint="eastAsia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u w:val="single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u w:val="none"/>
          <w:lang w:eastAsia="zh-CN"/>
        </w:rPr>
        <w:t>五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u w:val="none"/>
        </w:rPr>
        <w:t>情况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本单位当年一般公共预算“三公”经费预算支出0万元，较上年增加0万元，主要原因是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eastAsia="zh-CN"/>
        </w:rPr>
        <w:t>上年及本年度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，本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无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“三公”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经费预算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。其中：因公出国（境）经费0万元，较上年增加0万元，主要原因是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eastAsia="zh-CN"/>
        </w:rPr>
        <w:t>上年及本年度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，本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无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因公出国（境）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经费预算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；公务接待费0万元，较上年增加0万元，主要原因是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eastAsia="zh-CN"/>
        </w:rPr>
        <w:t>上年及本年度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，本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无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公务接待费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预算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；公务用车运行维护费0万元，较上年增加0万元，主要原因是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eastAsia="zh-CN"/>
        </w:rPr>
        <w:t>上年及本年度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，本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无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公务用车运行维护费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预算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；公务用车购置费0万元，较上年增加0万元，主要原因是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eastAsia="zh-CN"/>
        </w:rPr>
        <w:t>上年及本年度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，本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无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公务用车购置费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预算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当年一般公共预算会议费预算支出0万元，较上年增加0万元，主要原因是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eastAsia="zh-CN"/>
        </w:rPr>
        <w:t>上年及本年度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，本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无会议费预算。本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当年一般公共预算培训费预算支出0万元，较上年增加0万元，主要原因是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eastAsia="zh-CN"/>
        </w:rPr>
        <w:t>上年及本年度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，本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 xml:space="preserve">无培训费预算。 </w:t>
      </w:r>
    </w:p>
    <w:p>
      <w:pPr>
        <w:pStyle w:val="style0"/>
        <w:ind w:left="0" w:leftChars="0" w:firstLine="0" w:firstLineChars="0"/>
        <w:jc w:val="center"/>
        <w:rPr>
          <w:rFonts w:ascii="黑体" w:cs="黑体" w:eastAsia="黑体" w:hAnsi="黑体" w:hint="eastAsia"/>
          <w:sz w:val="32"/>
          <w:szCs w:val="32"/>
          <w:highlight w:val="none"/>
          <w:u w:val="none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highlight w:val="none"/>
          <w:u w:val="none"/>
          <w:lang w:val="en-US" w:eastAsia="zh-CN"/>
        </w:rPr>
        <w:t xml:space="preserve">会议费培训费明细 </w:t>
      </w:r>
    </w:p>
    <w:p>
      <w:pPr>
        <w:pStyle w:val="style0"/>
        <w:ind w:firstLine="640"/>
        <w:jc w:val="right"/>
        <w:rPr>
          <w:rFonts w:ascii="仿宋" w:cs="仿宋" w:eastAsia="仿宋" w:hAnsi="仿宋" w:hint="eastAsia"/>
          <w:sz w:val="24"/>
          <w:szCs w:val="24"/>
          <w:highlight w:val="none"/>
          <w:u w:val="none"/>
          <w:lang w:val="en-US" w:eastAsia="zh-CN"/>
        </w:rPr>
      </w:pPr>
      <w:r>
        <w:rPr>
          <w:rFonts w:ascii="仿宋" w:cs="仿宋" w:eastAsia="仿宋" w:hAnsi="仿宋" w:hint="eastAsia"/>
          <w:sz w:val="24"/>
          <w:szCs w:val="24"/>
          <w:highlight w:val="none"/>
          <w:u w:val="none"/>
          <w:lang w:val="en-US" w:eastAsia="zh-CN"/>
        </w:rPr>
        <w:t>单位：万元</w:t>
      </w:r>
    </w:p>
    <w:tbl>
      <w:tblPr>
        <w:tblStyle w:val="style105"/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250"/>
        <w:gridCol w:w="2693"/>
        <w:gridCol w:w="870"/>
        <w:gridCol w:w="990"/>
        <w:gridCol w:w="880"/>
      </w:tblGrid>
      <w:tr>
        <w:trPr/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ascii="黑体" w:cs="黑体" w:eastAsia="黑体" w:hAnsi="黑体" w:hint="eastAsia"/>
                <w:sz w:val="30"/>
                <w:szCs w:val="30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/>
        <w:trPr>
          <w:trHeight w:val="422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</w:p>
    <w:p>
      <w:pPr>
        <w:pStyle w:val="style0"/>
        <w:ind w:firstLine="640"/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六、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国有资产占有使用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情况说明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截止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上年底，本单位共有车辆0辆，单价20万元以上的设备0台（套）。当年部门预算安排购置车辆0辆；安排购置单价20万元以上的设备0台（套）。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七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、政府采购情况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说明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当年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无政府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采购预算，并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已公开空表。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八、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绩效目标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说明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本单位绩效目标管理全覆盖，涉及当年一般公共预算当年拨款18.34万元,当年政府性基金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预算当年拨款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0万元，当年国有资本经营预算拨款0万元。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九、公用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经费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情况说明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本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单位当年公用经费预算安排0万元，较上年持平。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十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</w:rPr>
        <w:t>、专业名词解释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1.公用经费：包括办公及印刷费、邮电费、差旅费、会议费、福利费、日常维修费、专用材料及一般设备购置费、办公用房水电费、办公用房取暖费、办公用房物业管理费、公务用车运行维护费以及其他费用。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2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.机关工资福利支出：指机关和参照公务员管理的事业单位（以下简称参公事业单位）在职职工和编制外长期聘用人员的各类劳动报酬，以及为上述人员缴纳的各项社会保险费等。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.机关资本性支出（一）：反映机关和参公事业单位资本性支出。</w:t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.对个人和家庭的补助：反映政府用于对个人和家庭的补助支出。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ab/>
      </w:r>
    </w:p>
    <w:p>
      <w:pPr>
        <w:pStyle w:val="style0"/>
        <w:ind w:firstLine="640"/>
        <w:rPr>
          <w:rFonts w:ascii="仿宋_GB2312" w:cs="仿宋_GB2312" w:eastAsia="仿宋_GB2312" w:hAnsi="仿宋_GB2312" w:hint="eastAsia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ab/>
      </w:r>
    </w:p>
    <w:p>
      <w:pPr>
        <w:pStyle w:val="style0"/>
        <w:rPr>
          <w:highlight w:val="none"/>
        </w:rPr>
      </w:pPr>
    </w:p>
    <w:sectPr>
      <w:pgSz w:w="11906" w:h="16838" w:orient="portrait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Calibri">
    <w:altName w:val="Calibri"/>
    <w:panose1 w:val="020f0502020004030204"/>
    <w:charset w:val="00"/>
    <w:family w:val="swiss"/>
    <w:pitch w:val="default"/>
    <w:sig w:usb0="E10002FF" w:usb1="4000ACFF" w:usb2="00000009" w:usb3="00000000" w:csb0="2000019F" w:csb1="00000000"/>
  </w:font>
  <w:font w:name="黑体">
    <w:altName w:val="黑体"/>
    <w:panose1 w:val="020106090600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7a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NotTrackFormatting/>
  <w:documentProtection w:edit="forms" w:formatting="0" w:enforcement="0"/>
  <w:defaultTabStop w:val="420"/>
  <w:bookFoldPrintingSheets w:val="0"/>
  <w:drawingGridHorizontalSpacing w:val="180"/>
  <w:drawingGridVerticalSpacing w:val="156"/>
  <w:displayHorizontalDrawingGridEvery w:val="0"/>
  <w:displayVerticalDrawingGridEvery w:val="2"/>
  <w:drawingGridHorizontalOrigin w:val="1800"/>
  <w:drawingGridVerticalOrigin w:val="1440"/>
  <w:characterSpacingControl w:val="compressPunctuation"/>
  <w:endnotePr>
    <w:pos w:val="docEnd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M2UzYWJmZmY3YTVhYTU4OTI5YjBhMTdkNDM1ODZiMTMifQ=="/>
  </w:docVars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pPr>
      <w:widowControl w:val="false"/>
      <w:jc w:val="both"/>
    </w:pPr>
    <w:rPr>
      <w:rFonts w:ascii="Calibri" w:cs="黑体" w:eastAsia="宋体" w:hAnsi="Calibri"/>
      <w:kern w:val="2"/>
      <w:sz w:val="21"/>
      <w:szCs w:val="24"/>
      <w:lang w:val="en-US" w:bidi="ar-SA" w:eastAsia="zh-CN"/>
    </w:rPr>
  </w:style>
  <w:style w:type="table" w:default="1" w:styleId="style105">
    <w:name w:val="Normal Table"/>
    <w:pPr/>
    <w:rPr/>
    <w:tblPr>
      <w:tblStyle w:val="style10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default="1" w:styleId="style65">
    <w:name w:val="Default Paragraph Fon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157256160</TotalTime>
  <Words>2200</Words>
  <Pages>7</Pages>
  <Characters>2302</Characters>
  <Application>WPS Office</Application>
  <DocSecurity>0</DocSecurity>
  <Paragraphs>108</Paragraphs>
  <ScaleCrop>false</ScaleCrop>
  <LinksUpToDate>false</LinksUpToDate>
  <CharactersWithSpaces>2329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2019-10-12T09:15:00Z</dcterms:created>
  <dc:creator>郭超(退回修改.)</dc:creator>
  <lastModifiedBy>NTH-AN00</lastModifiedBy>
  <lastPrinted>2023-03-20T03:09:33Z</lastPrinted>
  <dcterms:modified xsi:type="dcterms:W3CDTF">2023-04-18T10:59:22Z</dcterms:modified>
  <revision>1</revision>
  <dc:title>附件2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D30F26BA05564882AAEAC9C84D1E4086</vt:lpwstr>
  </property>
</Properties>
</file>